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rPr>
          <w:rFonts w:ascii="方正小标宋简体" w:eastAsia="方正小标宋简体" w:cs="方正小标宋简体" w:hint="eastAsia"/>
          <w:bCs/>
          <w:color w:val="000000"/>
          <w:sz w:val="44"/>
          <w:szCs w:val="44"/>
        </w:rPr>
      </w:pPr>
      <w:r>
        <w:rPr>
          <w:rFonts w:ascii="方正小标宋简体" w:eastAsia="方正小标宋简体" w:cs="方正小标宋简体" w:hint="eastAsia"/>
          <w:bCs/>
          <w:color w:val="000000"/>
          <w:sz w:val="44"/>
          <w:szCs w:val="44"/>
        </w:rPr>
        <w:t>《</w:t>
      </w:r>
      <w:r>
        <w:rPr>
          <w:rFonts w:ascii="方正小标宋简体" w:eastAsia="方正小标宋简体" w:cs="方正小标宋简体" w:hint="eastAsia"/>
          <w:bCs/>
          <w:color w:val="000000"/>
          <w:sz w:val="44"/>
          <w:szCs w:val="44"/>
          <w:lang w:eastAsia="zh-CN"/>
        </w:rPr>
        <w:t>枣庄市</w:t>
      </w:r>
      <w:r>
        <w:rPr>
          <w:rFonts w:ascii="方正小标宋简体" w:eastAsia="方正小标宋简体" w:cs="方正小标宋简体" w:hint="eastAsia"/>
          <w:bCs/>
          <w:color w:val="000000"/>
          <w:sz w:val="44"/>
          <w:szCs w:val="44"/>
        </w:rPr>
        <w:t>绿色建材推广应用三年行动方案（202</w:t>
      </w:r>
      <w:r>
        <w:rPr>
          <w:rFonts w:ascii="方正小标宋简体" w:eastAsia="方正小标宋简体" w:cs="方正小标宋简体" w:hint="eastAsia"/>
          <w:bCs/>
          <w:color w:val="000000"/>
          <w:sz w:val="44"/>
          <w:szCs w:val="44"/>
          <w:lang w:val="en-US" w:eastAsia="zh-CN"/>
        </w:rPr>
        <w:t>3</w:t>
      </w:r>
      <w:r>
        <w:rPr>
          <w:rFonts w:ascii="方正小标宋简体" w:eastAsia="方正小标宋简体" w:cs="方正小标宋简体" w:hint="eastAsia"/>
          <w:bCs/>
          <w:color w:val="000000"/>
          <w:sz w:val="44"/>
          <w:szCs w:val="44"/>
        </w:rPr>
        <w:t>-2025年）》</w:t>
      </w:r>
    </w:p>
    <w:p>
      <w:pPr>
        <w:keepNext w:val="0"/>
        <w:keepLines w:val="0"/>
        <w:pageBreakBefore w:val="0"/>
        <w:widowControl w:val="0"/>
        <w:kinsoku/>
        <w:wordWrap/>
        <w:overflowPunct/>
        <w:topLinePunct w:val="0"/>
        <w:autoSpaceDE/>
        <w:autoSpaceDN/>
        <w:bidi w:val="0"/>
        <w:adjustRightInd/>
        <w:snapToGrid/>
        <w:spacing w:before="0" w:after="0" w:line="620" w:lineRule="exact"/>
        <w:jc w:val="center"/>
        <w:textAlignment w:val="auto"/>
        <w:outlineLvl w:val="0"/>
      </w:pPr>
      <w:r>
        <w:rPr>
          <w:rFonts w:ascii="方正小标宋简体" w:eastAsia="方正小标宋简体" w:cs="方正小标宋简体" w:hint="eastAsia"/>
          <w:bCs/>
          <w:color w:val="000000"/>
          <w:sz w:val="44"/>
          <w:szCs w:val="44"/>
        </w:rPr>
        <w:t>重点任务分解表</w:t>
      </w:r>
    </w:p>
    <w:tbl>
      <w:tblPr>
        <w:jc w:val="left"/>
        <w:tblInd w:w="0" w:type="dxa"/>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7"/>
        <w:gridCol w:w="1343"/>
        <w:gridCol w:w="9570"/>
        <w:gridCol w:w="2184"/>
      </w:tblGrid>
      <w:tr>
        <w:trPr>
          <w:trHeight w:val="450"/>
          <w:tblHeader/>
        </w:trPr>
        <w:tc>
          <w:tcPr>
            <w:tcW w:w="107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黑体" w:eastAsia="黑体" w:cs="黑体"/>
                <w:bCs/>
                <w:color w:val="000000"/>
                <w:sz w:val="28"/>
                <w:szCs w:val="28"/>
              </w:rPr>
            </w:pPr>
            <w:r>
              <w:rPr>
                <w:rFonts w:ascii="黑体" w:eastAsia="黑体" w:cs="黑体" w:hint="eastAsia"/>
                <w:bCs/>
                <w:color w:val="000000"/>
                <w:kern w:val="0"/>
                <w:sz w:val="28"/>
                <w:szCs w:val="28"/>
              </w:rPr>
              <w:t>序号</w:t>
            </w:r>
          </w:p>
        </w:tc>
        <w:tc>
          <w:tcPr>
            <w:tcW w:w="134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黑体" w:eastAsia="黑体" w:cs="黑体"/>
                <w:bCs/>
                <w:color w:val="000000"/>
                <w:sz w:val="28"/>
                <w:szCs w:val="28"/>
              </w:rPr>
            </w:pPr>
            <w:r>
              <w:rPr>
                <w:rFonts w:ascii="黑体" w:eastAsia="黑体" w:cs="黑体" w:hint="eastAsia"/>
                <w:bCs/>
                <w:color w:val="000000"/>
                <w:kern w:val="0"/>
                <w:sz w:val="28"/>
                <w:szCs w:val="28"/>
              </w:rPr>
              <w:t>重点任务</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黑体" w:eastAsia="黑体" w:cs="黑体"/>
                <w:bCs/>
                <w:color w:val="000000"/>
                <w:sz w:val="28"/>
                <w:szCs w:val="28"/>
              </w:rPr>
            </w:pPr>
            <w:r>
              <w:rPr>
                <w:rFonts w:ascii="黑体" w:eastAsia="黑体" w:cs="黑体" w:hint="eastAsia"/>
                <w:bCs/>
                <w:color w:val="000000"/>
                <w:kern w:val="0"/>
                <w:sz w:val="28"/>
                <w:szCs w:val="28"/>
              </w:rPr>
              <w:t>具体措施</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黑体" w:eastAsia="黑体" w:cs="黑体"/>
                <w:bCs/>
                <w:color w:val="000000"/>
                <w:kern w:val="0"/>
                <w:sz w:val="28"/>
                <w:szCs w:val="28"/>
              </w:rPr>
            </w:pPr>
            <w:r>
              <w:rPr>
                <w:rFonts w:ascii="黑体" w:eastAsia="黑体" w:cs="黑体" w:hint="eastAsia"/>
                <w:bCs/>
                <w:color w:val="000000"/>
                <w:kern w:val="0"/>
                <w:sz w:val="28"/>
                <w:szCs w:val="28"/>
              </w:rPr>
              <w:t>完成时间</w:t>
            </w:r>
          </w:p>
        </w:tc>
      </w:tr>
      <w:tr>
        <w:trPr>
          <w:trHeight w:val="871"/>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eastAsia="zh-CN"/>
              </w:rPr>
            </w:pPr>
            <w:bookmarkStart w:id="0" w:name="_Hlk109987573"/>
            <w:bookmarkStart w:id="1" w:name="_Hlk109989718"/>
            <w:r>
              <w:rPr>
                <w:rFonts w:ascii="楷体" w:eastAsia="楷体" w:cs="楷体" w:hint="eastAsia"/>
                <w:b w:val="0"/>
                <w:bCs w:val="0"/>
                <w:color w:val="000000"/>
                <w:kern w:val="0"/>
                <w:sz w:val="24"/>
                <w:szCs w:val="24"/>
                <w:lang w:eastAsia="zh-CN"/>
              </w:rPr>
              <w:t>（一）</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color w:val="000000"/>
                <w:kern w:val="0"/>
                <w:sz w:val="24"/>
                <w:szCs w:val="24"/>
              </w:rPr>
            </w:pPr>
            <w:r>
              <w:rPr>
                <w:rFonts w:ascii="楷体" w:eastAsia="楷体" w:cs="楷体" w:hint="eastAsia"/>
                <w:b w:val="0"/>
                <w:bCs w:val="0"/>
                <w:sz w:val="24"/>
                <w:szCs w:val="24"/>
              </w:rPr>
              <w:t>加大工程应用力度</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rPr>
              <w:t>1.推动政府投资工程率先采用绿色建材，其中，政府投资或政府投资为主的城镇新建民用建筑全面推广采用绿色建材，星级绿色建筑项目绿色建材应用比例不低于30%</w:t>
            </w:r>
            <w:r>
              <w:rPr>
                <w:rFonts w:ascii="仿宋_GB2312" w:eastAsia="仿宋_GB2312" w:cs="仿宋_GB2312" w:hint="eastAsia"/>
                <w:bCs/>
                <w:color w:val="000000"/>
                <w:kern w:val="0"/>
                <w:sz w:val="24"/>
                <w:szCs w:val="24"/>
              </w:rPr>
              <w:t>。</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2"/>
                <w:sz w:val="24"/>
                <w:szCs w:val="24"/>
                <w14:textFill>
                  <w14:solidFill>
                    <w14:srgbClr w14:val="000000"/>
                  </w14:solidFill>
                </w14:textFill>
                <w:lang w:val="en-US" w:eastAsia="zh-CN" w:bidi="ar-SA"/>
              </w:rPr>
            </w:pPr>
            <w:r>
              <w:rPr>
                <w:rFonts w:ascii="仿宋_GB2312" w:eastAsia="仿宋_GB2312" w:cs="仿宋_GB2312" w:hint="eastAsia"/>
                <w:bCs/>
                <w:color w:val="000000"/>
                <w:sz w:val="24"/>
                <w:szCs w:val="24"/>
                <w14:textFill>
                  <w14:solidFill>
                    <w14:srgbClr w14:val="000000"/>
                  </w14:solidFill>
                </w14:textFill>
                <w:lang w:val="en-US" w:eastAsia="zh-CN"/>
              </w:rPr>
              <w:t>2023年12月底</w:t>
            </w:r>
          </w:p>
        </w:tc>
      </w:tr>
      <w:tr>
        <w:trPr>
          <w:trHeight w:val="1256"/>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FF"/>
                <w:kern w:val="0"/>
                <w:sz w:val="24"/>
                <w:szCs w:val="24"/>
                <w:lang w:val="en-US" w:eastAsia="zh-CN" w:bidi="ar-SA"/>
              </w:rPr>
            </w:pPr>
            <w:r>
              <w:rPr>
                <w:rFonts w:ascii="仿宋_GB2312" w:eastAsia="仿宋_GB2312" w:cs="仿宋_GB2312" w:hint="eastAsia"/>
                <w:bCs/>
                <w:color w:val="000000"/>
                <w:kern w:val="0"/>
                <w:sz w:val="24"/>
                <w:szCs w:val="24"/>
                <w:lang w:val="en-US" w:eastAsia="zh-CN"/>
              </w:rPr>
              <w:t>2.“十四五”期间，全市新增绿色建筑1200万平方米以上，开工建设装配式建筑</w:t>
            </w:r>
            <w:r>
              <w:rPr>
                <w:rFonts w:ascii="仿宋_GB2312" w:eastAsia="仿宋_GB2312" w:cs="仿宋_GB2312" w:hint="eastAsia"/>
                <w:b w:val="0"/>
                <w:bCs/>
                <w:color w:val="000000"/>
                <w:kern w:val="0"/>
                <w:sz w:val="24"/>
                <w:szCs w:val="24"/>
                <w14:textFill>
                  <w14:solidFill>
                    <w14:srgbClr w14:val="000000"/>
                  </w14:solidFill>
                </w14:textFill>
                <w:lang w:val="en-US" w:eastAsia="zh-CN"/>
              </w:rPr>
              <w:t>1000万平</w:t>
            </w:r>
            <w:r>
              <w:rPr>
                <w:rFonts w:ascii="仿宋_GB2312" w:eastAsia="仿宋_GB2312" w:cs="仿宋_GB2312" w:hint="eastAsia"/>
                <w:bCs/>
                <w:color w:val="000000"/>
                <w:kern w:val="0"/>
                <w:sz w:val="24"/>
                <w:szCs w:val="24"/>
                <w14:textFill>
                  <w14:solidFill>
                    <w14:srgbClr w14:val="000000"/>
                  </w14:solidFill>
                </w14:textFill>
                <w:lang w:val="en-US" w:eastAsia="zh-CN"/>
              </w:rPr>
              <w:t>方米以上；到2025年，全市绿色建筑占城镇新建民用建筑比例达到100%，新开工装配式建筑占城镇新建民用建筑比例达到43%以上。</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rPr>
              <w:t>2025</w:t>
            </w:r>
            <w:r>
              <w:rPr>
                <w:rFonts w:ascii="仿宋_GB2312" w:eastAsia="仿宋_GB2312" w:cs="仿宋_GB2312" w:hint="eastAsia"/>
                <w:bCs/>
                <w:color w:val="000000"/>
                <w:kern w:val="0"/>
                <w:sz w:val="24"/>
                <w:szCs w:val="24"/>
                <w14:textFill>
                  <w14:solidFill>
                    <w14:srgbClr w14:val="000000"/>
                  </w14:solidFill>
                </w14:textFill>
                <w:lang w:eastAsia="zh-CN"/>
              </w:rPr>
              <w:t>年</w:t>
            </w:r>
            <w:r>
              <w:rPr>
                <w:rFonts w:ascii="仿宋_GB2312" w:eastAsia="仿宋_GB2312" w:cs="仿宋_GB2312" w:hint="eastAsia"/>
                <w:bCs/>
                <w:color w:val="000000"/>
                <w:kern w:val="0"/>
                <w:sz w:val="24"/>
                <w:szCs w:val="24"/>
                <w14:textFill>
                  <w14:solidFill>
                    <w14:srgbClr w14:val="000000"/>
                  </w14:solidFill>
                </w14:textFill>
                <w:lang w:val="en-US" w:eastAsia="zh-CN"/>
              </w:rPr>
              <w:t>12月底</w:t>
            </w:r>
          </w:p>
        </w:tc>
      </w:tr>
      <w:tr>
        <w:trPr>
          <w:trHeight w:val="23"/>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eastAsia="zh-CN"/>
              </w:rPr>
            </w:pPr>
            <w:bookmarkStart w:id="2" w:name="_Hlk109989840"/>
            <w:bookmarkEnd w:id="0"/>
            <w:bookmarkEnd w:id="1"/>
            <w:r>
              <w:rPr>
                <w:rFonts w:ascii="楷体" w:eastAsia="楷体" w:cs="楷体" w:hint="eastAsia"/>
                <w:b w:val="0"/>
                <w:bCs w:val="0"/>
                <w:color w:val="000000"/>
                <w:kern w:val="0"/>
                <w:sz w:val="24"/>
                <w:szCs w:val="24"/>
                <w:lang w:eastAsia="zh-CN"/>
              </w:rPr>
              <w:t>（二）</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sz w:val="24"/>
                <w:szCs w:val="24"/>
              </w:rPr>
            </w:pPr>
            <w:r>
              <w:rPr>
                <w:rFonts w:ascii="楷体" w:eastAsia="楷体" w:cs="楷体" w:hint="eastAsia"/>
                <w:b w:val="0"/>
                <w:bCs w:val="0"/>
                <w:sz w:val="24"/>
                <w:szCs w:val="24"/>
              </w:rPr>
              <w:t>推广适宜技术产品</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 w:val="0"/>
                <w:bCs/>
                <w:color w:val="000000"/>
                <w:kern w:val="0"/>
                <w:sz w:val="24"/>
                <w:szCs w:val="24"/>
                <w:lang w:val="en-US" w:eastAsia="zh-CN"/>
              </w:rPr>
            </w:pPr>
            <w:r>
              <w:rPr>
                <w:rFonts w:ascii="仿宋_GB2312" w:eastAsia="仿宋_GB2312" w:cs="仿宋_GB2312" w:hint="eastAsia"/>
                <w:b w:val="0"/>
                <w:bCs/>
                <w:color w:val="000000"/>
                <w:kern w:val="0"/>
                <w:sz w:val="24"/>
                <w:szCs w:val="24"/>
                <w:lang w:val="en-US" w:eastAsia="zh-CN"/>
              </w:rPr>
              <w:t>3.严格执行山东省建设领域推广应用和限制禁止使用技术产品目录。</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2"/>
                <w:sz w:val="24"/>
                <w:szCs w:val="24"/>
                <w14:textFill>
                  <w14:solidFill>
                    <w14:srgbClr w14:val="000000"/>
                  </w14:solidFill>
                </w14:textFill>
                <w:lang w:val="en-US" w:eastAsia="zh-CN" w:bidi="ar-SA"/>
              </w:rPr>
            </w:pPr>
            <w:r>
              <w:rPr>
                <w:rFonts w:ascii="仿宋_GB2312" w:eastAsia="仿宋_GB2312" w:cs="仿宋_GB2312" w:hint="eastAsia"/>
                <w:bCs/>
                <w:color w:val="000000"/>
                <w:kern w:val="2"/>
                <w:sz w:val="24"/>
                <w:szCs w:val="24"/>
                <w14:textFill>
                  <w14:solidFill>
                    <w14:srgbClr w14:val="000000"/>
                  </w14:solidFill>
                </w14:textFill>
                <w:lang w:val="en-US" w:eastAsia="zh-CN" w:bidi="ar-SA"/>
              </w:rPr>
              <w:t>2024年6月底</w:t>
            </w:r>
          </w:p>
        </w:tc>
      </w:tr>
      <w:tr>
        <w:trPr>
          <w:trHeight w:val="23"/>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s="仿宋_GB2312" w:hint="eastAsia"/>
                <w:b w:val="0"/>
                <w:bCs/>
                <w:color w:val="000000"/>
                <w:kern w:val="0"/>
                <w:sz w:val="24"/>
                <w:szCs w:val="24"/>
                <w:lang w:val="en-US" w:eastAsia="zh-CN" w:bidi="ar-SA"/>
              </w:rPr>
            </w:pPr>
            <w:bookmarkStart w:id="3" w:name="_Hlk109989868"/>
            <w:bookmarkStart w:id="4" w:name="_Hlk109989900"/>
            <w:r>
              <w:rPr>
                <w:rFonts w:ascii="仿宋_GB2312" w:eastAsia="仿宋_GB2312" w:cs="仿宋_GB2312" w:hint="eastAsia"/>
                <w:b w:val="0"/>
                <w:bCs/>
                <w:color w:val="000000"/>
                <w:kern w:val="0"/>
                <w:sz w:val="24"/>
                <w:szCs w:val="24"/>
                <w:lang w:val="en-US" w:eastAsia="zh-CN" w:bidi="ar-SA"/>
              </w:rPr>
              <w:t>4.严禁使用国家、省明令淘汰的建材和产品。</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519"/>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eastAsia="zh-CN"/>
              </w:rPr>
            </w:pPr>
            <w:r>
              <w:rPr>
                <w:rFonts w:ascii="楷体" w:eastAsia="楷体" w:cs="楷体" w:hint="eastAsia"/>
                <w:b w:val="0"/>
                <w:bCs w:val="0"/>
                <w:color w:val="000000"/>
                <w:kern w:val="0"/>
                <w:sz w:val="24"/>
                <w:szCs w:val="24"/>
                <w:lang w:eastAsia="zh-CN"/>
              </w:rPr>
              <w:t>（三）</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sz w:val="24"/>
                <w:szCs w:val="24"/>
              </w:rPr>
            </w:pPr>
            <w:r>
              <w:rPr>
                <w:rFonts w:ascii="楷体" w:eastAsia="楷体" w:cs="楷体" w:hint="eastAsia"/>
                <w:b w:val="0"/>
                <w:bCs w:val="0"/>
                <w:sz w:val="24"/>
                <w:szCs w:val="24"/>
                <w:lang w:eastAsia="zh-CN"/>
              </w:rPr>
              <w:t>执行省级</w:t>
            </w:r>
            <w:r>
              <w:rPr>
                <w:rFonts w:ascii="楷体" w:eastAsia="楷体" w:cs="楷体" w:hint="eastAsia"/>
                <w:b w:val="0"/>
                <w:bCs w:val="0"/>
                <w:sz w:val="24"/>
                <w:szCs w:val="24"/>
              </w:rPr>
              <w:t>技术标准</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 w:val="0"/>
                <w:bCs/>
                <w:color w:val="000000"/>
                <w:kern w:val="0"/>
                <w:sz w:val="24"/>
                <w:szCs w:val="24"/>
                <w:lang w:val="en-US" w:eastAsia="zh-CN" w:bidi="ar-SA"/>
              </w:rPr>
            </w:pPr>
            <w:r>
              <w:rPr>
                <w:rFonts w:ascii="仿宋_GB2312" w:eastAsia="仿宋_GB2312" w:cs="仿宋_GB2312" w:hint="eastAsia"/>
                <w:b w:val="0"/>
                <w:bCs/>
                <w:color w:val="000000"/>
                <w:kern w:val="0"/>
                <w:sz w:val="24"/>
                <w:szCs w:val="24"/>
                <w:lang w:val="en-US" w:eastAsia="zh-CN" w:bidi="ar-SA"/>
              </w:rPr>
              <w:t>5.</w:t>
            </w:r>
            <w:r>
              <w:rPr>
                <w:rFonts w:ascii="仿宋_GB2312" w:eastAsia="仿宋_GB2312" w:cs="仿宋_GB2312" w:hint="eastAsia"/>
                <w:b w:val="0"/>
                <w:bCs/>
                <w:color w:val="000000"/>
                <w:kern w:val="0"/>
                <w:sz w:val="24"/>
                <w:szCs w:val="24"/>
                <w:lang w:val="en-US" w:eastAsia="zh-CN"/>
              </w:rPr>
              <w:t>严格执行</w:t>
            </w:r>
            <w:r>
              <w:rPr>
                <w:rFonts w:ascii="仿宋_GB2312" w:eastAsia="仿宋_GB2312" w:cs="仿宋_GB2312" w:hint="eastAsia"/>
                <w:b w:val="0"/>
                <w:bCs/>
                <w:color w:val="000000"/>
                <w:kern w:val="0"/>
                <w:sz w:val="24"/>
                <w:szCs w:val="24"/>
                <w:lang w:val="en-US" w:eastAsia="zh-CN" w:bidi="ar-SA"/>
              </w:rPr>
              <w:t>《山东省绿色建材工程应用评价导则》，落实建材应用比例计算办法及不同类型建筑项目绿色建材应用比例要求。</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699"/>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pStyle w:val="18"/>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s="仿宋_GB2312" w:hint="eastAsia"/>
                <w:b w:val="0"/>
                <w:bCs/>
                <w:color w:val="000000"/>
                <w:kern w:val="0"/>
                <w:sz w:val="24"/>
                <w:szCs w:val="24"/>
                <w:lang w:val="en-US" w:eastAsia="zh-CN" w:bidi="ar-SA"/>
              </w:rPr>
            </w:pPr>
            <w:bookmarkEnd w:id="2"/>
            <w:r>
              <w:rPr>
                <w:rFonts w:ascii="仿宋_GB2312" w:eastAsia="仿宋_GB2312" w:cs="仿宋_GB2312" w:hint="eastAsia"/>
                <w:b w:val="0"/>
                <w:bCs/>
                <w:color w:val="000000"/>
                <w:kern w:val="0"/>
                <w:sz w:val="24"/>
                <w:szCs w:val="24"/>
                <w:lang w:val="en-US" w:eastAsia="zh-CN" w:bidi="ar-SA"/>
              </w:rPr>
              <w:t>6.将绿色建材应用评价纳入《装配式建筑评价标准》《健康住宅评价标准》内容。</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rPr>
              <w:t>202</w:t>
            </w:r>
            <w:r>
              <w:rPr>
                <w:rFonts w:ascii="仿宋_GB2312" w:eastAsia="仿宋_GB2312" w:cs="仿宋_GB2312" w:hint="eastAsia"/>
                <w:bCs/>
                <w:color w:val="000000"/>
                <w:kern w:val="0"/>
                <w:sz w:val="24"/>
                <w:szCs w:val="24"/>
                <w14:textFill>
                  <w14:solidFill>
                    <w14:srgbClr w14:val="000000"/>
                  </w14:solidFill>
                </w14:textFill>
                <w:lang w:val="en-US" w:eastAsia="zh-CN"/>
              </w:rPr>
              <w:t>3</w:t>
            </w:r>
            <w:r>
              <w:rPr>
                <w:rFonts w:ascii="仿宋_GB2312" w:eastAsia="仿宋_GB2312" w:cs="仿宋_GB2312" w:hint="eastAsia"/>
                <w:bCs/>
                <w:color w:val="000000"/>
                <w:kern w:val="0"/>
                <w:sz w:val="24"/>
                <w:szCs w:val="24"/>
                <w14:textFill>
                  <w14:solidFill>
                    <w14:srgbClr w14:val="000000"/>
                  </w14:solidFill>
                </w14:textFill>
                <w:lang w:eastAsia="zh-CN"/>
              </w:rPr>
              <w:t>年</w:t>
            </w:r>
            <w:r>
              <w:rPr>
                <w:rFonts w:ascii="仿宋_GB2312" w:eastAsia="仿宋_GB2312" w:cs="仿宋_GB2312" w:hint="eastAsia"/>
                <w:bCs/>
                <w:color w:val="000000"/>
                <w:kern w:val="0"/>
                <w:sz w:val="24"/>
                <w:szCs w:val="24"/>
                <w14:textFill>
                  <w14:solidFill>
                    <w14:srgbClr w14:val="000000"/>
                  </w14:solidFill>
                </w14:textFill>
                <w:lang w:val="en-US" w:eastAsia="zh-CN"/>
              </w:rPr>
              <w:t>12月底</w:t>
            </w:r>
          </w:p>
        </w:tc>
      </w:tr>
      <w:tr>
        <w:trPr>
          <w:trHeight w:val="90"/>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bookmarkEnd w:id="3"/>
            <w:bookmarkEnd w:id="4"/>
            <w:r>
              <w:rPr>
                <w:rFonts w:ascii="仿宋_GB2312" w:eastAsia="仿宋_GB2312" w:cs="仿宋_GB2312" w:hint="eastAsia"/>
                <w:bCs/>
                <w:color w:val="000000"/>
                <w:kern w:val="0"/>
                <w:sz w:val="24"/>
                <w:szCs w:val="24"/>
                <w:lang w:val="en-US" w:eastAsia="zh-CN" w:bidi="ar-SA"/>
              </w:rPr>
              <w:t>7.加强绿色建材生产标准与工程建设设计规范及相关工程应用标准的衔接配套，鼓励指导绿色建材生产企业主编参编国家、行业、地方和团体工程应用技术标准。</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23"/>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rPr>
            </w:pPr>
            <w:bookmarkStart w:id="5" w:name="_Hlk109989978"/>
            <w:r>
              <w:rPr>
                <w:rFonts w:ascii="楷体" w:eastAsia="楷体" w:cs="楷体" w:hint="eastAsia"/>
                <w:b w:val="0"/>
                <w:bCs w:val="0"/>
                <w:color w:val="000000"/>
                <w:kern w:val="0"/>
                <w:sz w:val="24"/>
                <w:szCs w:val="24"/>
                <w:lang w:eastAsia="zh-CN"/>
              </w:rPr>
              <w:t>（四）</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sz w:val="24"/>
                <w:szCs w:val="24"/>
              </w:rPr>
            </w:pPr>
            <w:r>
              <w:rPr>
                <w:rFonts w:ascii="楷体" w:eastAsia="楷体" w:cs="楷体" w:hint="eastAsia"/>
                <w:b w:val="0"/>
                <w:bCs w:val="0"/>
                <w:sz w:val="24"/>
                <w:szCs w:val="24"/>
              </w:rPr>
              <w:t>强</w:t>
            </w:r>
            <w:r>
              <w:rPr>
                <w:rFonts w:ascii="楷体" w:eastAsia="楷体" w:cs="楷体" w:hint="eastAsia"/>
                <w:b w:val="0"/>
                <w:bCs w:val="0"/>
                <w:sz w:val="24"/>
                <w:szCs w:val="24"/>
                <w:lang w:eastAsia="zh-CN"/>
              </w:rPr>
              <w:t>化</w:t>
            </w:r>
            <w:r>
              <w:rPr>
                <w:rFonts w:ascii="楷体" w:eastAsia="楷体" w:cs="楷体" w:hint="eastAsia"/>
                <w:b w:val="0"/>
                <w:bCs w:val="0"/>
                <w:sz w:val="24"/>
                <w:szCs w:val="24"/>
              </w:rPr>
              <w:t>科技创新驱动</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8.支持企业联合领域内高校、科研院所、金融机构等，组建绿色建材推广应用创新创业联合体或技术创新中心。</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eastAsia="zh-CN"/>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23"/>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9.将绿色建材作为城乡建设科技计划项目重点支持方向，支持工程应用技术攻关。</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eastAsia="zh-CN"/>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23"/>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bCs/>
                <w:color w:val="000000"/>
                <w:kern w:val="0"/>
                <w:sz w:val="24"/>
                <w:szCs w:val="24"/>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10.组建枣庄市绿色建材推广应用专家库</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lang w:val="en-US" w:eastAsia="zh-CN"/>
              </w:rPr>
              <w:t>2023年12月底前</w:t>
            </w:r>
          </w:p>
        </w:tc>
      </w:tr>
      <w:tr>
        <w:trPr>
          <w:trHeight w:val="23"/>
        </w:trPr>
        <w:tc>
          <w:tcPr>
            <w:tcW w:w="1077"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rPr>
            </w:pPr>
            <w:r>
              <w:rPr>
                <w:rFonts w:ascii="楷体" w:eastAsia="楷体" w:cs="楷体" w:hint="eastAsia"/>
                <w:b w:val="0"/>
                <w:bCs w:val="0"/>
                <w:color w:val="000000"/>
                <w:kern w:val="0"/>
                <w:sz w:val="24"/>
                <w:szCs w:val="24"/>
                <w:lang w:eastAsia="zh-CN"/>
              </w:rPr>
              <w:t>（五）</w:t>
            </w:r>
          </w:p>
        </w:tc>
        <w:tc>
          <w:tcPr>
            <w:tcW w:w="1343"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hint="eastAsia"/>
                <w:b w:val="0"/>
                <w:bCs w:val="0"/>
                <w:sz w:val="24"/>
                <w:szCs w:val="24"/>
                <w:lang w:eastAsia="zh-CN"/>
              </w:rPr>
            </w:pPr>
            <w:r>
              <w:rPr>
                <w:rFonts w:ascii="楷体" w:eastAsia="楷体" w:cs="楷体" w:hint="eastAsia"/>
                <w:b w:val="0"/>
                <w:bCs w:val="0"/>
                <w:sz w:val="24"/>
                <w:szCs w:val="24"/>
                <w:lang w:eastAsia="zh-CN"/>
              </w:rPr>
              <w:t>加强政府采购支持</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11.落实财政部、住房城乡建设部、工业和信息化部《关于扩大政府采购支持绿色建材促进建筑品质提升政策实施范围的通知》要求，以医院、学校、办公楼、综合体、展览馆、会展中心、体育馆、保障房等政府采购工程项目（含适用招标投标法的政府采购工程项目），抓好政策实施。</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rPr>
              <w:t>2025</w:t>
            </w:r>
            <w:r>
              <w:rPr>
                <w:rFonts w:ascii="仿宋_GB2312" w:eastAsia="仿宋_GB2312" w:cs="仿宋_GB2312" w:hint="eastAsia"/>
                <w:bCs/>
                <w:color w:val="000000"/>
                <w:kern w:val="0"/>
                <w:sz w:val="24"/>
                <w:szCs w:val="24"/>
                <w14:textFill>
                  <w14:solidFill>
                    <w14:srgbClr w14:val="000000"/>
                  </w14:solidFill>
                </w14:textFill>
                <w:lang w:eastAsia="zh-CN"/>
              </w:rPr>
              <w:t>年</w:t>
            </w:r>
            <w:r>
              <w:rPr>
                <w:rFonts w:ascii="仿宋_GB2312" w:eastAsia="仿宋_GB2312" w:cs="仿宋_GB2312" w:hint="eastAsia"/>
                <w:bCs/>
                <w:color w:val="000000"/>
                <w:kern w:val="0"/>
                <w:sz w:val="24"/>
                <w:szCs w:val="24"/>
                <w14:textFill>
                  <w14:solidFill>
                    <w14:srgbClr w14:val="000000"/>
                  </w14:solidFill>
                </w14:textFill>
                <w:lang w:val="en-US" w:eastAsia="zh-CN"/>
              </w:rPr>
              <w:t>12月底前</w:t>
            </w:r>
          </w:p>
        </w:tc>
      </w:tr>
      <w:tr>
        <w:trPr>
          <w:trHeight w:val="23"/>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rPr>
            </w:pPr>
            <w:bookmarkEnd w:id="5"/>
            <w:r>
              <w:rPr>
                <w:rFonts w:ascii="楷体" w:eastAsia="楷体" w:cs="楷体" w:hint="eastAsia"/>
                <w:b w:val="0"/>
                <w:bCs w:val="0"/>
                <w:color w:val="000000"/>
                <w:kern w:val="0"/>
                <w:sz w:val="24"/>
                <w:szCs w:val="24"/>
                <w:lang w:eastAsia="zh-CN"/>
              </w:rPr>
              <w:t>（六）</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sz w:val="24"/>
                <w:szCs w:val="24"/>
              </w:rPr>
            </w:pPr>
            <w:r>
              <w:rPr>
                <w:rFonts w:ascii="楷体" w:eastAsia="楷体" w:cs="楷体" w:hint="eastAsia"/>
                <w:b w:val="0"/>
                <w:bCs w:val="0"/>
                <w:sz w:val="24"/>
                <w:szCs w:val="24"/>
              </w:rPr>
              <w:t>推进绿色建材认证</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12.会同有关部门，积极推进绿色建材产品认证工作，支持具备建筑节能、绿色建筑、装配式建筑等有关技术产品应用推广能力和经验的机构，申请绿色建材产品认证资质。</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23"/>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13.会同有关部门，加大国家绿色建材产品认证目录和绿色建材产品认证实施规则解读宣传力度，引导绿色建材生产企业向具备资质的认证机构申请绿色建材产品认证。</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90"/>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14.到2025年，全市绿色建材认证技术产品达到40项以上。</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lang w:val="en-US" w:eastAsia="zh-CN"/>
              </w:rPr>
              <w:t>2025年12月底前</w:t>
            </w:r>
          </w:p>
        </w:tc>
      </w:tr>
      <w:tr>
        <w:trPr>
          <w:trHeight w:val="23"/>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15.严格执行山东省绿色建材采信技术要求。</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254"/>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16.将获得绿色建材产品认证及虽未经认证但满足采信技术要求的绿色建材，纳入采信应用数据信息库，并将绿色建材产品生产企业信息、主要性能指标、工程应用情况等信息向社会公开。</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lang w:val="en-US" w:eastAsia="zh-CN"/>
              </w:rPr>
              <w:t>持续推进</w:t>
            </w:r>
          </w:p>
        </w:tc>
      </w:tr>
      <w:tr>
        <w:trPr>
          <w:trHeight w:val="90"/>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rPr>
            </w:pPr>
            <w:r>
              <w:rPr>
                <w:rFonts w:ascii="楷体" w:eastAsia="楷体" w:cs="楷体" w:hint="eastAsia"/>
                <w:b w:val="0"/>
                <w:bCs w:val="0"/>
                <w:color w:val="000000"/>
                <w:kern w:val="0"/>
                <w:sz w:val="24"/>
                <w:szCs w:val="24"/>
                <w:lang w:eastAsia="zh-CN"/>
              </w:rPr>
              <w:t>（八）</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1"/>
              <w:rPr>
                <w:rFonts w:ascii="楷体" w:eastAsia="楷体" w:cs="楷体"/>
                <w:b w:val="0"/>
                <w:bCs w:val="0"/>
                <w:sz w:val="24"/>
                <w:szCs w:val="24"/>
              </w:rPr>
            </w:pPr>
            <w:r>
              <w:rPr>
                <w:rFonts w:ascii="楷体" w:eastAsia="楷体" w:cs="楷体" w:hint="eastAsia"/>
                <w:b w:val="0"/>
                <w:bCs w:val="0"/>
                <w:sz w:val="24"/>
                <w:szCs w:val="24"/>
              </w:rPr>
              <w:t>健全应用管控机制</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17.将绿色建材应用情况纳入《绿色建筑设计说明专篇》。</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rPr>
            </w:pPr>
            <w:r>
              <w:rPr>
                <w:rFonts w:ascii="仿宋_GB2312" w:eastAsia="仿宋_GB2312" w:cs="仿宋_GB2312" w:hint="eastAsia"/>
                <w:bCs/>
                <w:color w:val="000000"/>
                <w:kern w:val="0"/>
                <w:sz w:val="24"/>
                <w:szCs w:val="24"/>
                <w14:textFill>
                  <w14:solidFill>
                    <w14:srgbClr w14:val="000000"/>
                  </w14:solidFill>
                </w14:textFill>
                <w:lang w:val="en-US" w:eastAsia="zh-CN"/>
              </w:rPr>
              <w:t>2023年12月底前</w:t>
            </w:r>
          </w:p>
        </w:tc>
      </w:tr>
      <w:tr>
        <w:trPr>
          <w:trHeight w:val="321"/>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bidi="ar-SA"/>
              </w:rPr>
              <w:t>18.结合工程造价改革将使用绿色建材成本纳入工程预算造价。</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val="en-US" w:eastAsia="zh-CN"/>
              </w:rPr>
              <w:t>2023年12月底前</w:t>
            </w:r>
          </w:p>
        </w:tc>
      </w:tr>
      <w:tr>
        <w:trPr>
          <w:trHeight w:val="635"/>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19.确保建设工程消防安全，消防设计审查验收中，建筑构件、建筑材料和室内装修、装饰材料防火性能必须符合国家标准；没有国家标准的，必须符合行业标准。</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val="en-US" w:eastAsia="zh-CN" w:bidi="ar-SA"/>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635"/>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20.加强施工过程质量监管，加大绿色建材进场日常监督检查、巡查力度，严肃查处违法违规行为。</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hint="eastAsia"/>
                <w:bCs/>
                <w:color w:val="000000"/>
                <w:kern w:val="0"/>
                <w:sz w:val="24"/>
                <w:szCs w:val="24"/>
                <w14:textFill>
                  <w14:solidFill>
                    <w14:srgbClr w14:val="000000"/>
                  </w14:solidFill>
                </w14:textFill>
                <w:lang w:eastAsia="zh-CN"/>
              </w:rPr>
            </w:pPr>
            <w:r>
              <w:rPr>
                <w:rFonts w:ascii="仿宋_GB2312" w:eastAsia="仿宋_GB2312" w:cs="仿宋_GB2312" w:hint="eastAsia"/>
                <w:bCs/>
                <w:color w:val="000000"/>
                <w:kern w:val="0"/>
                <w:sz w:val="24"/>
                <w:szCs w:val="24"/>
                <w14:textFill>
                  <w14:solidFill>
                    <w14:srgbClr w14:val="000000"/>
                  </w14:solidFill>
                </w14:textFill>
                <w:lang w:eastAsia="zh-CN"/>
              </w:rPr>
              <w:t>持续推进</w:t>
            </w:r>
          </w:p>
        </w:tc>
      </w:tr>
      <w:tr>
        <w:trPr>
          <w:trHeight w:val="466"/>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val="en-US" w:eastAsia="zh-CN"/>
              </w:rPr>
            </w:pPr>
            <w:r>
              <w:rPr>
                <w:rFonts w:ascii="楷体" w:eastAsia="楷体" w:cs="楷体" w:hint="eastAsia"/>
                <w:b w:val="0"/>
                <w:bCs w:val="0"/>
                <w:color w:val="000000"/>
                <w:kern w:val="0"/>
                <w:sz w:val="24"/>
                <w:szCs w:val="24"/>
                <w:lang w:eastAsia="zh-CN"/>
              </w:rPr>
              <w:t>（九）</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楷体" w:eastAsia="楷体" w:cs="楷体" w:hint="eastAsia"/>
                <w:b w:val="0"/>
                <w:bCs w:val="0"/>
                <w:color w:val="000000"/>
                <w:kern w:val="0"/>
                <w:sz w:val="24"/>
                <w:szCs w:val="24"/>
                <w:lang w:eastAsia="zh-CN"/>
              </w:rPr>
            </w:pPr>
            <w:r>
              <w:rPr>
                <w:rFonts w:ascii="楷体" w:eastAsia="楷体" w:cs="楷体" w:hint="eastAsia"/>
                <w:b w:val="0"/>
                <w:bCs w:val="0"/>
                <w:color w:val="000000"/>
                <w:kern w:val="0"/>
                <w:sz w:val="24"/>
                <w:szCs w:val="24"/>
                <w:lang w:eastAsia="zh-CN"/>
              </w:rPr>
              <w:t>加强组织领导</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21.各区（市）住房城乡建设主管部门要与工信、财政、市场监管等部门加强联动协调，编制本市工作实施方案，明确目标任务、压实工作责任。</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lang w:val="en-US" w:eastAsia="zh-CN"/>
              </w:rPr>
            </w:pPr>
            <w:r>
              <w:rPr>
                <w:rFonts w:ascii="仿宋_GB2312" w:eastAsia="仿宋_GB2312" w:cs="仿宋_GB2312" w:hint="eastAsia"/>
                <w:bCs/>
                <w:color w:val="000000"/>
                <w:kern w:val="0"/>
                <w:sz w:val="24"/>
                <w:szCs w:val="24"/>
                <w:lang w:val="en-US" w:eastAsia="zh-CN"/>
              </w:rPr>
              <w:t>2023年6月底前</w:t>
            </w:r>
          </w:p>
        </w:tc>
      </w:tr>
      <w:tr>
        <w:trPr>
          <w:trHeight w:val="466"/>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22.实施绿色建材推广应用工作定期调度通报制度。</w:t>
            </w:r>
          </w:p>
        </w:tc>
        <w:tc>
          <w:tcPr>
            <w:tcW w:w="21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eastAsia="仿宋_GB2312" w:cs="仿宋_GB2312"/>
                <w:bCs/>
                <w:color w:val="000000"/>
                <w:kern w:val="0"/>
                <w:sz w:val="24"/>
                <w:szCs w:val="24"/>
                <w:lang w:val="en-US" w:eastAsia="zh-CN"/>
              </w:rPr>
            </w:pPr>
            <w:r>
              <w:rPr>
                <w:rFonts w:ascii="仿宋_GB2312" w:eastAsia="仿宋_GB2312" w:cs="仿宋_GB2312" w:hint="eastAsia"/>
                <w:bCs/>
                <w:color w:val="000000"/>
                <w:kern w:val="0"/>
                <w:sz w:val="24"/>
                <w:szCs w:val="24"/>
                <w:lang w:val="en-US" w:eastAsia="zh-CN"/>
              </w:rPr>
              <w:t>持续推进</w:t>
            </w:r>
          </w:p>
        </w:tc>
      </w:tr>
      <w:tr>
        <w:trPr>
          <w:trHeight w:val="23"/>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val="en-US" w:eastAsia="zh-CN"/>
              </w:rPr>
            </w:pPr>
            <w:r>
              <w:rPr>
                <w:rFonts w:ascii="楷体" w:eastAsia="楷体" w:cs="楷体" w:hint="eastAsia"/>
                <w:b w:val="0"/>
                <w:bCs w:val="0"/>
                <w:color w:val="000000"/>
                <w:kern w:val="0"/>
                <w:sz w:val="24"/>
                <w:szCs w:val="24"/>
                <w:lang w:eastAsia="zh-CN"/>
              </w:rPr>
              <w:t>（十）</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楷体" w:eastAsia="楷体" w:cs="楷体" w:hint="eastAsia"/>
                <w:b w:val="0"/>
                <w:bCs w:val="0"/>
                <w:color w:val="000000"/>
                <w:kern w:val="0"/>
                <w:sz w:val="24"/>
                <w:szCs w:val="24"/>
              </w:rPr>
            </w:pPr>
            <w:r>
              <w:rPr>
                <w:rFonts w:ascii="楷体" w:eastAsia="楷体" w:cs="楷体" w:hint="eastAsia"/>
                <w:b w:val="0"/>
                <w:bCs w:val="0"/>
                <w:color w:val="000000"/>
                <w:kern w:val="0"/>
                <w:sz w:val="24"/>
                <w:szCs w:val="24"/>
              </w:rPr>
              <w:t>加强激励扶持</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23.积极协调相关部门，落实国家、省已有适用于绿色建材推广应用的财政、税收、科技、环保等方面的优惠政策。</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eastAsia="zh-CN"/>
              </w:rPr>
              <w:t>持续推进</w:t>
            </w:r>
          </w:p>
        </w:tc>
      </w:tr>
      <w:tr>
        <w:trPr>
          <w:trHeight w:val="641"/>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24.会同银行、金融等主管部门，将绿色建材纳入绿色金融及碳中和等新型债券支持范围，引导银行增加优惠利率贷款投放，针对绿色建材生产企业、应用工程提供更加优质的金融产品和服务。</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bCs/>
                <w:color w:val="000000"/>
                <w:kern w:val="0"/>
                <w:sz w:val="24"/>
                <w:szCs w:val="24"/>
                <w:lang w:val="en-US" w:eastAsia="zh-CN"/>
              </w:rPr>
            </w:pPr>
            <w:r>
              <w:rPr>
                <w:rFonts w:ascii="仿宋_GB2312" w:eastAsia="仿宋_GB2312" w:cs="仿宋_GB2312" w:hint="eastAsia"/>
                <w:bCs/>
                <w:color w:val="000000"/>
                <w:kern w:val="0"/>
                <w:sz w:val="24"/>
                <w:szCs w:val="24"/>
                <w:lang w:val="en-US" w:eastAsia="zh-CN"/>
              </w:rPr>
              <w:t>持续推进</w:t>
            </w:r>
          </w:p>
        </w:tc>
      </w:tr>
      <w:tr>
        <w:trPr>
          <w:trHeight w:val="156"/>
        </w:trPr>
        <w:tc>
          <w:tcPr>
            <w:tcW w:w="107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val="en-US" w:eastAsia="zh-CN" w:bidi="ar-SA"/>
              </w:rPr>
            </w:pPr>
            <w:r>
              <w:rPr>
                <w:rFonts w:ascii="楷体" w:eastAsia="楷体" w:cs="楷体" w:hint="eastAsia"/>
                <w:b w:val="0"/>
                <w:bCs w:val="0"/>
                <w:color w:val="000000"/>
                <w:kern w:val="0"/>
                <w:sz w:val="24"/>
                <w:szCs w:val="24"/>
                <w:lang w:eastAsia="zh-CN"/>
              </w:rPr>
              <w:t>（十一）</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楷体" w:eastAsia="楷体" w:cs="楷体" w:hint="eastAsia"/>
                <w:b w:val="0"/>
                <w:bCs w:val="0"/>
                <w:color w:val="000000"/>
                <w:kern w:val="0"/>
                <w:sz w:val="24"/>
                <w:szCs w:val="24"/>
                <w:lang w:eastAsia="zh-CN"/>
              </w:rPr>
            </w:pPr>
            <w:r>
              <w:rPr>
                <w:rFonts w:ascii="楷体" w:eastAsia="楷体" w:cs="楷体" w:hint="eastAsia"/>
                <w:b w:val="0"/>
                <w:bCs w:val="0"/>
                <w:color w:val="000000"/>
                <w:kern w:val="0"/>
                <w:sz w:val="24"/>
                <w:szCs w:val="24"/>
                <w:lang w:eastAsia="zh-CN"/>
              </w:rPr>
              <w:t>加强示范引领</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25.组织开展绿色建材应用示范工程建设。</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hint="eastAsia"/>
                <w:bCs/>
                <w:color w:val="000000"/>
                <w:kern w:val="0"/>
                <w:sz w:val="24"/>
                <w:szCs w:val="24"/>
                <w:lang w:val="en-US" w:eastAsia="zh-CN"/>
              </w:rPr>
            </w:pPr>
            <w:r>
              <w:rPr>
                <w:rFonts w:ascii="仿宋_GB2312" w:eastAsia="仿宋_GB2312" w:cs="仿宋_GB2312" w:hint="eastAsia"/>
                <w:bCs/>
                <w:color w:val="000000"/>
                <w:kern w:val="0"/>
                <w:sz w:val="24"/>
                <w:szCs w:val="24"/>
                <w:lang w:val="en-US" w:eastAsia="zh-CN"/>
              </w:rPr>
              <w:t>每年12月底前</w:t>
            </w:r>
          </w:p>
        </w:tc>
      </w:tr>
      <w:tr>
        <w:trPr>
          <w:trHeight w:val="156"/>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w:t>
            </w:r>
            <w:r>
              <w:rPr>
                <w:rFonts w:ascii="仿宋_GB2312" w:eastAsia="仿宋_GB2312" w:cs="仿宋_GB2312" w:hint="eastAsia"/>
                <w:bCs/>
                <w:color w:val="auto"/>
                <w:kern w:val="0"/>
                <w:sz w:val="24"/>
                <w:szCs w:val="24"/>
                <w:lang w:val="en-US" w:eastAsia="zh-CN" w:bidi="ar-SA"/>
              </w:rPr>
              <w:t>6.到2025年，争创省级绿色建材应用示范工程5个以上。</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hint="eastAsia"/>
                <w:bCs/>
                <w:color w:val="000000"/>
                <w:kern w:val="0"/>
                <w:sz w:val="24"/>
                <w:szCs w:val="24"/>
                <w:lang w:val="en-US" w:eastAsia="zh-CN"/>
              </w:rPr>
            </w:pPr>
            <w:r>
              <w:rPr>
                <w:rFonts w:ascii="仿宋_GB2312" w:eastAsia="仿宋_GB2312" w:cs="仿宋_GB2312" w:hint="eastAsia"/>
                <w:bCs/>
                <w:color w:val="000000"/>
                <w:kern w:val="0"/>
                <w:sz w:val="24"/>
                <w:szCs w:val="24"/>
                <w:lang w:val="en-US" w:eastAsia="zh-CN"/>
              </w:rPr>
              <w:t>2025年12月底前</w:t>
            </w:r>
          </w:p>
        </w:tc>
      </w:tr>
      <w:tr>
        <w:trPr>
          <w:trHeight w:val="156"/>
        </w:trPr>
        <w:tc>
          <w:tcPr>
            <w:tcW w:w="1077" w:type="dxa"/>
            <w:vMerge/>
            <w:tcBorders>
              <w:top w:val="single" w:sz="4" w:space="0" w:color="auto"/>
              <w:left w:val="single" w:sz="4" w:space="0" w:color="auto"/>
              <w:bottom w:val="single" w:sz="4" w:space="0" w:color="auto"/>
              <w:right w:val="single" w:sz="4" w:space="0" w:color="auto"/>
            </w:tcBorders>
            <w:vAlign w:val="center"/>
          </w:tcPr>
          <w:p/>
        </w:tc>
        <w:tc>
          <w:tcPr>
            <w:tcW w:w="1343" w:type="dxa"/>
            <w:vMerge/>
            <w:tcBorders>
              <w:top w:val="single" w:sz="4" w:space="0" w:color="auto"/>
              <w:left w:val="single" w:sz="4" w:space="0" w:color="auto"/>
              <w:bottom w:val="single" w:sz="4" w:space="0" w:color="auto"/>
              <w:right w:val="single" w:sz="4" w:space="0" w:color="auto"/>
            </w:tcBorders>
            <w:vAlign w:val="center"/>
          </w:tcP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auto"/>
                <w:kern w:val="0"/>
                <w:sz w:val="24"/>
                <w:szCs w:val="24"/>
                <w:lang w:val="en-US" w:eastAsia="zh-CN" w:bidi="ar-SA"/>
              </w:rPr>
              <w:t>27.符合条件的绿色建材应用项目优先推荐申报泰山杯、省优质结构工程、鲁班奖、国家优质工程奖等省级、国家级奖项。</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rPr>
              <w:t>持续推进</w:t>
            </w:r>
          </w:p>
        </w:tc>
      </w:tr>
      <w:tr>
        <w:trPr>
          <w:trHeight w:val="156"/>
        </w:trPr>
        <w:tc>
          <w:tcPr>
            <w:tcW w:w="1077"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楷体" w:eastAsia="楷体" w:cs="楷体" w:hint="eastAsia"/>
                <w:b w:val="0"/>
                <w:bCs w:val="0"/>
                <w:color w:val="000000"/>
                <w:kern w:val="0"/>
                <w:sz w:val="24"/>
                <w:szCs w:val="24"/>
                <w:lang w:val="en-US" w:eastAsia="zh-CN"/>
              </w:rPr>
            </w:pPr>
            <w:r>
              <w:rPr>
                <w:rFonts w:ascii="楷体" w:eastAsia="楷体" w:cs="楷体" w:hint="eastAsia"/>
                <w:b w:val="0"/>
                <w:bCs w:val="0"/>
                <w:color w:val="000000"/>
                <w:kern w:val="0"/>
                <w:sz w:val="24"/>
                <w:szCs w:val="24"/>
                <w:lang w:eastAsia="zh-CN"/>
              </w:rPr>
              <w:t>（十二）</w:t>
            </w:r>
          </w:p>
        </w:tc>
        <w:tc>
          <w:tcPr>
            <w:tcW w:w="134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楷体" w:eastAsia="楷体" w:cs="楷体" w:hint="eastAsia"/>
                <w:b w:val="0"/>
                <w:bCs w:val="0"/>
                <w:color w:val="000000"/>
                <w:kern w:val="0"/>
                <w:sz w:val="24"/>
                <w:szCs w:val="24"/>
                <w:lang w:eastAsia="zh-CN"/>
              </w:rPr>
            </w:pPr>
            <w:r>
              <w:rPr>
                <w:rFonts w:ascii="楷体" w:eastAsia="楷体" w:cs="楷体" w:hint="eastAsia"/>
                <w:b w:val="0"/>
                <w:bCs w:val="0"/>
                <w:color w:val="000000"/>
                <w:kern w:val="0"/>
                <w:sz w:val="24"/>
                <w:szCs w:val="24"/>
                <w:lang w:eastAsia="zh-CN"/>
              </w:rPr>
              <w:t>加强</w:t>
            </w:r>
            <w:r>
              <w:rPr>
                <w:rFonts w:ascii="楷体" w:eastAsia="楷体" w:cs="楷体" w:hint="eastAsia"/>
                <w:b w:val="0"/>
                <w:bCs w:val="0"/>
                <w:color w:val="000000"/>
                <w:kern w:val="0"/>
                <w:sz w:val="24"/>
                <w:szCs w:val="24"/>
              </w:rPr>
              <w:t>宣传</w:t>
            </w:r>
            <w:r>
              <w:rPr>
                <w:rFonts w:ascii="楷体" w:eastAsia="楷体" w:cs="楷体" w:hint="eastAsia"/>
                <w:b w:val="0"/>
                <w:bCs w:val="0"/>
                <w:color w:val="000000"/>
                <w:kern w:val="0"/>
                <w:sz w:val="24"/>
                <w:szCs w:val="24"/>
                <w:lang w:eastAsia="zh-CN"/>
              </w:rPr>
              <w:t>交流</w:t>
            </w:r>
          </w:p>
        </w:tc>
        <w:tc>
          <w:tcPr>
            <w:tcW w:w="957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bidi="ar-SA"/>
              </w:rPr>
              <w:t>28.充分利用各类渠道，宣传推广应用绿色建材的经济社会效益和环境效益，努力营造良好发展氛围。</w:t>
            </w:r>
          </w:p>
        </w:tc>
        <w:tc>
          <w:tcPr>
            <w:tcW w:w="218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cs="仿宋_GB2312" w:hint="eastAsia"/>
                <w:bCs/>
                <w:color w:val="000000"/>
                <w:kern w:val="0"/>
                <w:sz w:val="24"/>
                <w:szCs w:val="24"/>
                <w:lang w:val="en-US" w:eastAsia="zh-CN" w:bidi="ar-SA"/>
              </w:rPr>
            </w:pPr>
            <w:r>
              <w:rPr>
                <w:rFonts w:ascii="仿宋_GB2312" w:eastAsia="仿宋_GB2312" w:cs="仿宋_GB2312" w:hint="eastAsia"/>
                <w:bCs/>
                <w:color w:val="000000"/>
                <w:kern w:val="0"/>
                <w:sz w:val="24"/>
                <w:szCs w:val="24"/>
                <w:lang w:val="en-US" w:eastAsia="zh-CN"/>
              </w:rPr>
              <w:t>持续推进</w:t>
            </w:r>
          </w:p>
        </w:tc>
      </w:tr>
    </w:tbl>
    <w:p>
      <w:pPr>
        <w:rPr>
          <w:rFonts w:ascii="黑体" w:eastAsia="黑体" w:cs="黑体" w:hint="eastAsia"/>
          <w:sz w:val="32"/>
          <w:szCs w:val="32"/>
          <w:lang w:val="en-US" w:eastAsia="zh-CN"/>
        </w:rPr>
      </w:pPr>
    </w:p>
    <w:p>
      <w:pPr>
        <w:spacing w:line="500" w:lineRule="exact"/>
        <w:ind w:left="0"/>
        <w:rPr>
          <w:lang w:val="en-US" w:eastAsia="zh-CN"/>
        </w:rPr>
      </w:pPr>
      <w:bookmarkStart w:id="6" w:name="_GoBack"/>
      <w:bookmarkEnd w:id="6"/>
    </w:p>
    <w:sectPr>
      <w:footerReference w:type="default" r:id="rId2"/>
      <w:type w:val="continuous"/>
      <w:pgSz w:w="16838" w:h="11906" w:orient="landscape"/>
      <w:pgMar w:top="1803" w:right="1440" w:bottom="1803" w:left="1440" w:header="851" w:footer="992" w:gutter="0"/>
      <w:pgNumType/>
      <w:rtlGutter/>
      <w:docGrid w:type="lines" w:linePitch="319"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altName w:val="楷体_GB2312"/>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7A"/>
    <w:family w:val="auto"/>
    <w:pitch w:val="variable"/>
    <w:sig w:usb0="E0002EFF" w:usb1="C000785B" w:usb2="00000009" w:usb3="00000000" w:csb0="400001FF" w:csb1="FFFF0000"/>
  </w:font>
  <w:font w:name="宋体">
    <w:altName w:val="方正书宋_GBK"/>
    <w:panose1 w:val="02010600030101010101"/>
    <w:charset w:val="7A"/>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0002EFF" w:usb1="C000247B" w:usb2="00000009" w:usb3="00000000" w:csb0="200001FF" w:csb1="00000000"/>
  </w:font>
  <w:font w:name="Arial">
    <w:altName w:val="DejaVu Sans"/>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533400" cy="175412"/>
              <wp:effectExtent l="0" t="0" r="0" b="0"/>
              <wp:wrapNone/>
              <wp:docPr id="1" name="文本框 15"/>
              <wp:cNvGraphicFramePr>
                <a:graphicFrameLocks noChangeAspect="0"/>
              </wp:cNvGraphicFramePr>
              <a:graphic>
                <a:graphicData uri="http://schemas.microsoft.com/office/word/2010/wordprocessingShape">
                  <wps:wsp>
                    <wps:cNvSpPr/>
                    <wps:spPr>
                      <a:xfrm rot="0">
                        <a:off x="0" y="0"/>
                        <a:ext cx="533400" cy="175412"/>
                      </a:xfrm>
                      <a:prstGeom prst="rect"/>
                      <a:noFill/>
                      <a:ln w="6350" cmpd="sng" cap="flat">
                        <a:noFill/>
                        <a:prstDash val="solid"/>
                        <a:round/>
                      </a:ln>
                    </wps:spPr>
                    <wps:txbx id="2">
                      <w:txbxContent>
                        <w:p>
                          <w:pPr>
                            <w:pStyle w:val="21"/>
                            <w:tabs>
                              <w:tab w:val="center" w:pos="4153"/>
                              <w:tab w:val="right" w:pos="8306"/>
                            </w:tabs>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type="#_x0000_t202" id="文本框 15 3" o:spid="_x0000_s3" filled="f" stroked="f" strokeweight="0.5pt" style="position:absolute;margin-left:0.0pt;margin-top:0.0pt;width:42.000008pt;height:13.811984pt;z-index:12;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1"/>
                      <w:tabs>
                        <w:tab w:val="center" w:pos="4153"/>
                        <w:tab w:val="right" w:pos="8306"/>
                      </w:tabs>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9"/>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NzllMjhlZThmNDkwNGNhNWRlMGJmNDlhOWIwYzNlNj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toc 1"/>
    <w:basedOn w:val="0"/>
    <w:next w:val="0"/>
    <w:pPr>
      <w:snapToGrid w:val="0"/>
      <w:spacing w:line="640" w:lineRule="exact"/>
      <w:ind w:firstLine="705"/>
    </w:pPr>
    <w:rPr>
      <w:rFonts w:ascii="仿宋_GB2312" w:hAnsi="仿宋_GB2312"/>
      <w:color w:val="000000"/>
      <w:sz w:val="36"/>
      <w:szCs w:val="36"/>
    </w:rPr>
  </w:style>
  <w:style w:type="paragraph" w:styleId="16">
    <w:name w:val="table of authorities"/>
    <w:basedOn w:val="0"/>
    <w:next w:val="0"/>
    <w:pPr>
      <w:ind w:leftChars="200" w:left="200"/>
    </w:pPr>
    <w:rPr>
      <w:rFonts w:ascii="Calibri" w:eastAsia="宋体" w:cs="Times New Roman" w:hAnsi="Calibri"/>
      <w:szCs w:val="24"/>
    </w:rPr>
  </w:style>
  <w:style w:type="paragraph" w:styleId="17">
    <w:name w:val="annotation text"/>
    <w:basedOn w:val="0"/>
    <w:pPr>
      <w:jc w:val="left"/>
    </w:pPr>
  </w:style>
  <w:style w:type="paragraph" w:styleId="18">
    <w:name w:val="Body Text"/>
    <w:basedOn w:val="0"/>
    <w:next w:val="20"/>
    <w:pPr>
      <w:spacing w:before="5"/>
    </w:pPr>
    <w:rPr>
      <w:rFonts w:ascii="宋体" w:eastAsia="宋体" w:cs="宋体"/>
      <w:b/>
      <w:bCs/>
      <w:sz w:val="33"/>
      <w:szCs w:val="33"/>
      <w:lang w:val="zh-CN" w:eastAsia="zh-CN" w:bidi="zh-CN"/>
    </w:rPr>
  </w:style>
  <w:style w:type="paragraph" w:styleId="19">
    <w:name w:val="Body Text Indent"/>
    <w:basedOn w:val="0"/>
    <w:pPr>
      <w:spacing w:after="120"/>
      <w:ind w:left="420"/>
    </w:pPr>
  </w:style>
  <w:style w:type="paragraph" w:styleId="20">
    <w:name w:val="Body Text First Indent 2"/>
    <w:basedOn w:val="19"/>
    <w:next w:val="0"/>
    <w:pPr>
      <w:ind w:left="0" w:firstLine="420"/>
    </w:pPr>
    <w:rPr>
      <w:rFonts w:ascii="仿宋_GB2312" w:cs="仿宋_GB2312" w:hAnsi="仿宋_GB2312"/>
    </w:rPr>
  </w:style>
  <w:style w:type="paragraph" w:styleId="21">
    <w:name w:val="footer"/>
    <w:basedOn w:val="0"/>
    <w:pPr>
      <w:tabs>
        <w:tab w:val="center" w:pos="4153"/>
        <w:tab w:val="right" w:pos="8306"/>
      </w:tabs>
      <w:snapToGrid w:val="0"/>
      <w:jc w:val="left"/>
    </w:pPr>
    <w:rPr>
      <w:sz w:val="18"/>
      <w:szCs w:val="18"/>
    </w:rPr>
  </w:style>
  <w:style w:type="paragraph" w:styleId="22">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3">
    <w:name w:val="Normal (Web)"/>
    <w:basedOn w:val="0"/>
    <w:pPr>
      <w:spacing w:before="0" w:beforeAutospacing="1" w:after="0" w:afterAutospacing="1"/>
      <w:ind w:left="0" w:right="0"/>
      <w:jc w:val="left"/>
    </w:pPr>
    <w:rPr>
      <w:kern w:val="0"/>
      <w:sz w:val="24"/>
      <w:lang w:val="en-US" w:eastAsia="zh-CN"/>
    </w:rPr>
  </w:style>
  <w:style w:type="character" w:styleId="24">
    <w:name w:val="Strong"/>
    <w:basedOn w:val="10"/>
    <w:rPr>
      <w:b/>
    </w:rPr>
  </w:style>
  <w:style w:type="character" w:styleId="25">
    <w:name w:val="page number"/>
    <w:basedOn w:val="10"/>
    <w:rPr>
      <w:rFonts w:ascii="Times New Roman" w:eastAsia="宋体" w:cs="Times New Roman" w:hAnsi="Times New Roman"/>
    </w:rPr>
  </w:style>
  <w:style w:type="character" w:styleId="26">
    <w:name w:val="Hyperlink"/>
    <w:basedOn w:val="10"/>
    <w:rPr>
      <w:color w:val="3D3D3D"/>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75</TotalTime>
  <Application>Yozo_Office27021597764231179</Application>
  <Pages>3</Pages>
  <Words>1692</Words>
  <Characters>1813</Characters>
  <Lines>115</Lines>
  <Paragraphs>84</Paragraphs>
  <CharactersWithSpaces>1813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user</cp:lastModifiedBy>
  <cp:revision>1</cp:revision>
  <cp:lastPrinted>2023-07-23T01:18:00Z</cp:lastPrinted>
  <dcterms:created xsi:type="dcterms:W3CDTF">2021-06-23T17:20:00Z</dcterms:created>
  <dcterms:modified xsi:type="dcterms:W3CDTF">2023-08-29T08:02:05Z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2052-11.8.2.10337</vt:lpwstr>
  </property>
  <property fmtid="{D5CDD505-2E9C-101B-9397-08002B2CF9AE}" pid="3" name="ICV">
    <vt:lpwstr>8897A7D7CF0A4F82BC2AD4841D7F8129_12</vt:lpwstr>
  </property>
</Properties>
</file>