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color w:val="212121"/>
          <w:kern w:val="0"/>
          <w:sz w:val="28"/>
          <w:szCs w:val="28"/>
        </w:rPr>
      </w:pPr>
      <w:r>
        <w:rPr>
          <w:rFonts w:ascii="宋体" w:hAnsi="宋体" w:cs="宋体"/>
          <w:b/>
          <w:color w:val="212121"/>
          <w:kern w:val="0"/>
          <w:sz w:val="28"/>
          <w:szCs w:val="28"/>
        </w:rPr>
        <w:t>附件2</w:t>
      </w:r>
    </w:p>
    <w:p>
      <w:pPr>
        <w:widowControl/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城市老旧建筑安全排查</w:t>
      </w:r>
      <w:r>
        <w:rPr>
          <w:rFonts w:hint="eastAsia"/>
          <w:b/>
          <w:sz w:val="36"/>
          <w:szCs w:val="44"/>
        </w:rPr>
        <w:t>整治</w:t>
      </w:r>
      <w:r>
        <w:rPr>
          <w:b/>
          <w:sz w:val="36"/>
          <w:szCs w:val="44"/>
        </w:rPr>
        <w:t>督导情况一览表</w:t>
      </w:r>
    </w:p>
    <w:p>
      <w:pPr>
        <w:spacing w:after="100" w:afterAutospacing="1"/>
        <w:ind w:firstLine="480" w:firstLineChars="200"/>
        <w:jc w:val="left"/>
        <w:rPr>
          <w:b/>
          <w:sz w:val="24"/>
        </w:rPr>
      </w:pPr>
      <w:r>
        <w:rPr>
          <w:rFonts w:eastAsia="楷体"/>
          <w:sz w:val="24"/>
        </w:rPr>
        <w:t>督导</w:t>
      </w:r>
      <w:r>
        <w:rPr>
          <w:rFonts w:hint="eastAsia" w:eastAsia="楷体"/>
          <w:sz w:val="24"/>
          <w:lang w:val="en-US" w:eastAsia="zh-CN"/>
        </w:rPr>
        <w:t>区（</w:t>
      </w:r>
      <w:r>
        <w:rPr>
          <w:rFonts w:eastAsia="楷体"/>
          <w:sz w:val="24"/>
        </w:rPr>
        <w:t>市</w:t>
      </w:r>
      <w:r>
        <w:rPr>
          <w:rFonts w:hint="eastAsia" w:eastAsia="楷体"/>
          <w:sz w:val="24"/>
          <w:lang w:eastAsia="zh-CN"/>
        </w:rPr>
        <w:t>）</w:t>
      </w:r>
      <w:r>
        <w:rPr>
          <w:rFonts w:eastAsia="楷体"/>
          <w:sz w:val="24"/>
        </w:rPr>
        <w:t>：</w:t>
      </w:r>
      <w:r>
        <w:rPr>
          <w:rFonts w:eastAsia="楷体"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       </w:t>
      </w:r>
      <w:r>
        <w:rPr>
          <w:rFonts w:hint="eastAsia" w:eastAsia="仿宋"/>
          <w:sz w:val="24"/>
          <w:lang w:val="en-US" w:eastAsia="zh-CN"/>
        </w:rPr>
        <w:t>区（市）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8893"/>
        <w:gridCol w:w="1357"/>
        <w:gridCol w:w="2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8893" w:type="dxa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督导内容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完成情况</w:t>
            </w:r>
          </w:p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（是或否）</w:t>
            </w:r>
          </w:p>
        </w:tc>
        <w:tc>
          <w:tcPr>
            <w:tcW w:w="2867" w:type="dxa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是否下发通知进行专门部署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是否制定详细排查方案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是否分解落实责任到具体单位和人员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是否对城市老旧建筑排查工作进行了广泛宣传发动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是否组织房屋产权人或使用人进行自查自报；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自查房屋   幢，计   万平米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是否组织专业人员对存在安全隐患的房屋进行重点检查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检查房屋   幢，计   万平米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排查发现的质量安全隐患治理防控情况，是否留有书面记录；</w:t>
            </w:r>
          </w:p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是否采取有效措施解除隐患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</w:t>
            </w:r>
          </w:p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</w:t>
            </w: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发现隐患房屋    幢</w:t>
            </w:r>
          </w:p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解除隐患房屋    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建立城市老旧建筑安全档案情况，掌握本地城市老旧建筑安全情况的覆盖面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righ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建档    幢，计    万平米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893" w:type="dxa"/>
            <w:vAlign w:val="center"/>
          </w:tcPr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是否对已入住保障性住房、棚户区改造项目进行质量安全状况回访</w:t>
            </w:r>
          </w:p>
          <w:p>
            <w:pP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是否对在建住保障性住房、棚户区改造项目开展质量安全执法检查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已入住    幢，计    万平米</w:t>
            </w:r>
          </w:p>
          <w:p>
            <w:pPr>
              <w:widowControl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在建    幢，计    万平米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105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93" w:type="dxa"/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探索建立城市老旧建筑安全管理长效机制情况：</w:t>
            </w:r>
          </w:p>
          <w:p>
            <w:pPr>
              <w:spacing w:line="260" w:lineRule="exact"/>
              <w:ind w:firstLine="418" w:firstLineChars="209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是否出台房屋使用安全管理规章制度，说明制发单位、时间，留存复印件1份</w:t>
            </w:r>
          </w:p>
          <w:p>
            <w:pPr>
              <w:spacing w:line="260" w:lineRule="exact"/>
              <w:ind w:firstLine="418" w:firstLineChars="209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是否设立房屋安全鉴定机构，说明机构性质，业务范围</w:t>
            </w:r>
          </w:p>
          <w:p>
            <w:pPr>
              <w:spacing w:line="260" w:lineRule="exact"/>
              <w:ind w:firstLine="418" w:firstLineChars="209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是否设立老房危房改造（修缮）管理机构，说明机构性质，业务范围</w:t>
            </w:r>
          </w:p>
          <w:p>
            <w:pPr>
              <w:spacing w:line="260" w:lineRule="exact"/>
              <w:ind w:firstLine="418" w:firstLineChars="209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>本市具有房屋安全检测鉴定能力的单位数量，说明年检测能力</w:t>
            </w:r>
          </w:p>
        </w:tc>
        <w:tc>
          <w:tcPr>
            <w:tcW w:w="422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                        </w:t>
            </w:r>
          </w:p>
          <w:p>
            <w:pPr>
              <w:widowControl/>
              <w:spacing w:line="260" w:lineRule="exact"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                        </w:t>
            </w:r>
          </w:p>
          <w:p>
            <w:pPr>
              <w:widowControl/>
              <w:spacing w:line="260" w:lineRule="exact"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                        </w:t>
            </w:r>
          </w:p>
          <w:p>
            <w:pPr>
              <w:widowControl/>
              <w:spacing w:line="260" w:lineRule="exact"/>
              <w:jc w:val="left"/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0"/>
                <w:szCs w:val="20"/>
              </w:rPr>
              <w:t xml:space="preserve">                                 </w:t>
            </w:r>
          </w:p>
        </w:tc>
      </w:tr>
    </w:tbl>
    <w:p>
      <w:pPr>
        <w:spacing w:line="578" w:lineRule="exact"/>
        <w:jc w:val="center"/>
        <w:rPr>
          <w:rFonts w:eastAsia="仿宋_GB2312"/>
          <w:sz w:val="32"/>
          <w:szCs w:val="32"/>
        </w:rPr>
      </w:pPr>
      <w:r>
        <w:rPr>
          <w:rFonts w:eastAsia="楷体"/>
          <w:sz w:val="24"/>
        </w:rPr>
        <w:t>督导组组长：</w:t>
      </w:r>
      <w:r>
        <w:rPr>
          <w:rFonts w:eastAsia="楷体"/>
          <w:sz w:val="24"/>
          <w:u w:val="single"/>
        </w:rPr>
        <w:t xml:space="preserve">          </w:t>
      </w:r>
      <w:r>
        <w:rPr>
          <w:rFonts w:eastAsia="楷体"/>
          <w:sz w:val="24"/>
        </w:rPr>
        <w:t xml:space="preserve">（签字）                 填表人： </w:t>
      </w:r>
      <w:r>
        <w:rPr>
          <w:rFonts w:eastAsia="楷体"/>
          <w:sz w:val="24"/>
          <w:u w:val="single"/>
        </w:rPr>
        <w:t xml:space="preserve">          </w:t>
      </w:r>
      <w:r>
        <w:rPr>
          <w:rFonts w:eastAsia="楷体"/>
          <w:sz w:val="24"/>
        </w:rPr>
        <w:t xml:space="preserve">                填表日期：2016年  月   日</w:t>
      </w:r>
      <w:bookmarkStart w:id="0" w:name="_GoBack"/>
      <w:bookmarkEnd w:id="0"/>
    </w:p>
    <w:sectPr>
      <w:footerReference r:id="rId3" w:type="default"/>
      <w:pgSz w:w="16838" w:h="11906" w:orient="landscape"/>
      <w:pgMar w:top="1474" w:right="2098" w:bottom="1474" w:left="1985" w:header="851" w:footer="127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wordWrap w:val="0"/>
      <w:jc w:val="right"/>
      <w:rPr>
        <w:rFonts w:asciiTheme="minorEastAsia" w:hAnsiTheme="minorEastAsia"/>
        <w:sz w:val="28"/>
        <w:szCs w:val="28"/>
      </w:rPr>
    </w:pPr>
    <w:sdt>
      <w:sdtPr>
        <w:rPr>
          <w:rFonts w:asciiTheme="minorEastAsia" w:hAnsiTheme="minorEastAsia"/>
          <w:sz w:val="28"/>
          <w:szCs w:val="28"/>
        </w:rPr>
        <w:id w:val="1036856625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  <w:r>
      <w:rPr>
        <w:rFonts w:hint="eastAsia" w:asciiTheme="minorEastAsia" w:hAnsiTheme="minorEastAsia"/>
        <w:sz w:val="28"/>
        <w:szCs w:val="28"/>
      </w:rPr>
      <w:t xml:space="preserve">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51800770">
    <w:nsid w:val="32C572C2"/>
    <w:multiLevelType w:val="multilevel"/>
    <w:tmpl w:val="32C572C2"/>
    <w:lvl w:ilvl="0" w:tentative="1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518007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C6"/>
    <w:rsid w:val="00517820"/>
    <w:rsid w:val="00664EC6"/>
    <w:rsid w:val="006B0708"/>
    <w:rsid w:val="00856B85"/>
    <w:rsid w:val="00AE203E"/>
    <w:rsid w:val="00DF103F"/>
    <w:rsid w:val="2F142FC0"/>
    <w:rsid w:val="688256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128</Words>
  <Characters>733</Characters>
  <Lines>6</Lines>
  <Paragraphs>1</Paragraphs>
  <ScaleCrop>false</ScaleCrop>
  <LinksUpToDate>false</LinksUpToDate>
  <CharactersWithSpaces>860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2016-04-13T07:07:00Z</dcterms:created>
  <dc:creator>admin</dc:creator>
  <cp:lastModifiedBy>Administrator</cp:lastModifiedBy>
  <dcterms:modified xsi:type="dcterms:W3CDTF">2016-04-26T01:49:09Z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